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1E9D" w14:textId="77777777" w:rsidR="008A0A9A" w:rsidRPr="007A3673" w:rsidRDefault="008A0A9A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</w:p>
    <w:p w14:paraId="4761B2E0" w14:textId="77777777" w:rsidR="008A0A9A" w:rsidRPr="007A3673" w:rsidRDefault="008A0A9A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</w:p>
    <w:p w14:paraId="536BBC69" w14:textId="77777777" w:rsidR="008A0A9A" w:rsidRPr="007A3673" w:rsidRDefault="008A0A9A" w:rsidP="006E241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</w:p>
    <w:p w14:paraId="2F856C4C" w14:textId="77777777" w:rsidR="00860E8D" w:rsidRDefault="00860E8D" w:rsidP="006E241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  <w:bookmarkStart w:id="0" w:name="_Hlk74074617"/>
      <w:r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CALL FOR EXPRESSIONS OF INTEREST</w:t>
      </w:r>
    </w:p>
    <w:p w14:paraId="0AB8B411" w14:textId="407B2277" w:rsidR="002D3112" w:rsidRDefault="00344E17" w:rsidP="006E241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FOR THE STANDARD SETTING BOARDS (</w:t>
      </w:r>
      <w:r w:rsidR="008A0A9A" w:rsidRPr="007A3673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SSBs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)</w:t>
      </w:r>
      <w:r w:rsidR="00D6310B" w:rsidRPr="007A3673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 xml:space="preserve"> </w:t>
      </w:r>
      <w:r w:rsidR="008E2C30" w:rsidRPr="007A3673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NOMINATIONS</w:t>
      </w:r>
      <w:r w:rsidR="002D3112" w:rsidRPr="007A3673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 xml:space="preserve"> COMMITTEE</w:t>
      </w:r>
    </w:p>
    <w:p w14:paraId="49ECCD11" w14:textId="77777777" w:rsidR="002D3112" w:rsidRPr="007A3673" w:rsidRDefault="002D3112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0D11CB78" w14:textId="77777777" w:rsidR="002D3112" w:rsidRPr="007A3673" w:rsidRDefault="002D3112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3A13E945" w14:textId="5BA41A39" w:rsidR="007052F3" w:rsidRPr="000E495B" w:rsidRDefault="00375BDB" w:rsidP="006E241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aps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b/>
          <w:bCs/>
          <w:caps/>
          <w:color w:val="333333"/>
          <w:sz w:val="24"/>
          <w:szCs w:val="24"/>
          <w:lang w:eastAsia="es-ES"/>
        </w:rPr>
        <w:t xml:space="preserve">The </w:t>
      </w:r>
      <w:r w:rsidR="004C1647" w:rsidRPr="004C1647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SSBs</w:t>
      </w:r>
      <w:r w:rsidR="004C1647" w:rsidRPr="004C1647">
        <w:rPr>
          <w:rFonts w:eastAsia="Times New Roman" w:cstheme="minorHAnsi"/>
          <w:b/>
          <w:bCs/>
          <w:caps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b/>
          <w:bCs/>
          <w:caps/>
          <w:color w:val="333333"/>
          <w:sz w:val="24"/>
          <w:szCs w:val="24"/>
          <w:lang w:eastAsia="es-ES"/>
        </w:rPr>
        <w:t xml:space="preserve">Nominations Committee </w:t>
      </w:r>
    </w:p>
    <w:p w14:paraId="068B2E16" w14:textId="77777777" w:rsidR="00375BDB" w:rsidRPr="000E495B" w:rsidRDefault="00375BDB" w:rsidP="006E241A">
      <w:pPr>
        <w:pStyle w:val="Prrafodelista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bookmarkStart w:id="1" w:name="_Hlk74054207"/>
    </w:p>
    <w:p w14:paraId="2BE41F15" w14:textId="418EF052" w:rsidR="00670E97" w:rsidRPr="000E495B" w:rsidRDefault="008A0A9A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</w:t>
      </w:r>
      <w:r w:rsidR="00375BD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SSBs </w:t>
      </w:r>
      <w:r w:rsidR="008E2C30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Nominations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Committee is a committee established and appointed by the PIOB</w:t>
      </w:r>
      <w:r w:rsidR="00375BD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to </w:t>
      </w:r>
      <w:r w:rsidR="002D311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facilitate the 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selection </w:t>
      </w:r>
      <w:r w:rsidR="002D311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process </w:t>
      </w:r>
      <w:r w:rsidR="000342EF" w:rsidRPr="000E495B">
        <w:rPr>
          <w:rFonts w:eastAsia="Times New Roman" w:cstheme="minorHAnsi"/>
          <w:color w:val="333333"/>
          <w:sz w:val="24"/>
          <w:szCs w:val="24"/>
          <w:lang w:eastAsia="es-ES"/>
        </w:rPr>
        <w:t>for</w:t>
      </w:r>
      <w:r w:rsidR="002D311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membership of the 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International Audit and Assurance Standard</w:t>
      </w:r>
      <w:r w:rsidR="00AC3CB3" w:rsidRPr="000E495B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Board (IAASB) and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the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International Ethics Standard</w:t>
      </w:r>
      <w:r w:rsidR="00AC3CB3" w:rsidRPr="000E495B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Board for Accountants (IESBA), </w:t>
      </w:r>
      <w:r w:rsidR="00AC3CB3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collectively 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referred to</w:t>
      </w:r>
      <w:r w:rsidR="00670E97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in this document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as </w:t>
      </w:r>
      <w:r w:rsidR="002D3112" w:rsidRPr="000E495B">
        <w:rPr>
          <w:rFonts w:eastAsia="Times New Roman" w:cstheme="minorHAnsi"/>
          <w:color w:val="333333"/>
          <w:sz w:val="24"/>
          <w:szCs w:val="24"/>
          <w:lang w:eastAsia="es-ES"/>
        </w:rPr>
        <w:t>SSBs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</w:t>
      </w:r>
    </w:p>
    <w:p w14:paraId="64AC9F59" w14:textId="77777777" w:rsidR="00225832" w:rsidRPr="000E495B" w:rsidRDefault="00225832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bookmarkEnd w:id="1"/>
    <w:p w14:paraId="000F4226" w14:textId="32258E6B" w:rsidR="002A1F65" w:rsidRDefault="002A1F65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SSBs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>Nominations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Committee </w:t>
      </w:r>
      <w:r w:rsidRPr="00344E17">
        <w:rPr>
          <w:rFonts w:eastAsia="Times New Roman" w:cstheme="minorHAnsi"/>
          <w:color w:val="333333"/>
          <w:sz w:val="24"/>
          <w:szCs w:val="24"/>
          <w:lang w:eastAsia="es-ES"/>
        </w:rPr>
        <w:t>will be responsible to carry out the selection process of SSB members.</w:t>
      </w:r>
    </w:p>
    <w:p w14:paraId="365FC286" w14:textId="77777777" w:rsidR="002A1F65" w:rsidRDefault="002A1F65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76AF9D65" w14:textId="48B82F86" w:rsidR="00A325AD" w:rsidRPr="000E495B" w:rsidRDefault="00A325A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objective of 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SSB </w:t>
      </w:r>
      <w:r w:rsid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selection process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is ensuring a mu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>lti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stakeholder composition of the IAASB and 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IESBA, in line with the </w:t>
      </w:r>
      <w:hyperlink r:id="rId8" w:history="1">
        <w:r w:rsidR="00173B60" w:rsidRPr="00D06724">
          <w:rPr>
            <w:rStyle w:val="Hipervnculo"/>
            <w:rFonts w:asciiTheme="minorHAnsi" w:eastAsia="Times New Roman" w:hAnsiTheme="minorHAnsi" w:cstheme="minorHAnsi"/>
            <w:sz w:val="24"/>
            <w:szCs w:val="24"/>
            <w:lang w:eastAsia="es-ES"/>
          </w:rPr>
          <w:t>Monitoring Group</w:t>
        </w:r>
        <w:r w:rsidRPr="00D06724">
          <w:rPr>
            <w:rStyle w:val="Hipervnculo"/>
            <w:rFonts w:asciiTheme="minorHAnsi" w:eastAsia="Times New Roman" w:hAnsiTheme="minorHAnsi" w:cstheme="minorHAnsi"/>
            <w:sz w:val="24"/>
            <w:szCs w:val="24"/>
            <w:lang w:eastAsia="es-ES"/>
          </w:rPr>
          <w:t xml:space="preserve"> recommendations to strengthen the international audit and ethics</w:t>
        </w:r>
        <w:r w:rsidRPr="00D06724">
          <w:rPr>
            <w:rStyle w:val="Hipervnculo"/>
            <w:rFonts w:asciiTheme="minorHAnsi" w:eastAsia="Times New Roman" w:hAnsiTheme="minorHAnsi" w:cstheme="minorHAnsi"/>
            <w:sz w:val="24"/>
            <w:szCs w:val="24"/>
            <w:lang w:eastAsia="es-ES"/>
          </w:rPr>
          <w:t xml:space="preserve"> </w:t>
        </w:r>
        <w:r w:rsidRPr="00D06724">
          <w:rPr>
            <w:rStyle w:val="Hipervnculo"/>
            <w:rFonts w:asciiTheme="minorHAnsi" w:eastAsia="Times New Roman" w:hAnsiTheme="minorHAnsi" w:cstheme="minorHAnsi"/>
            <w:sz w:val="24"/>
            <w:szCs w:val="24"/>
            <w:lang w:eastAsia="es-ES"/>
          </w:rPr>
          <w:t>standard setting system</w:t>
        </w:r>
      </w:hyperlink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.</w:t>
      </w:r>
    </w:p>
    <w:p w14:paraId="1941F8E8" w14:textId="77777777" w:rsidR="00A325AD" w:rsidRPr="000E495B" w:rsidRDefault="00A325A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014102E7" w14:textId="551DCA47" w:rsidR="00A325AD" w:rsidRPr="00344E17" w:rsidRDefault="00A325A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existing 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composition of the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IAASB and </w:t>
      </w:r>
      <w:r w:rsidR="00173B60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IESBA will transit</w:t>
      </w:r>
      <w:r w:rsidR="00B6772B">
        <w:rPr>
          <w:rFonts w:eastAsia="Times New Roman" w:cstheme="minorHAnsi"/>
          <w:color w:val="333333"/>
          <w:sz w:val="24"/>
          <w:szCs w:val="24"/>
          <w:lang w:eastAsia="es-ES"/>
        </w:rPr>
        <w:t>ion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in the next two years to multistakeholder boards made up of sixteen members</w:t>
      </w:r>
      <w:r w:rsidR="00A00977">
        <w:rPr>
          <w:rFonts w:eastAsia="Times New Roman" w:cstheme="minorHAnsi"/>
          <w:color w:val="333333"/>
          <w:sz w:val="24"/>
          <w:szCs w:val="24"/>
          <w:lang w:eastAsia="es-ES"/>
        </w:rPr>
        <w:t>, including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 Chair. At the end of this period, the IAASB and </w:t>
      </w:r>
      <w:r w:rsidR="00173B60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IESBA </w:t>
      </w:r>
      <w:r w:rsidR="00B6772B">
        <w:rPr>
          <w:rFonts w:eastAsia="Times New Roman" w:cstheme="minorHAnsi"/>
          <w:color w:val="333333"/>
          <w:sz w:val="24"/>
          <w:szCs w:val="24"/>
          <w:lang w:eastAsia="es-ES"/>
        </w:rPr>
        <w:t>will</w:t>
      </w:r>
      <w:r w:rsidR="00B6772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be comprised of a balanced group of individuals drawn from diverse stakeholder groups</w:t>
      </w:r>
      <w:r w:rsidR="00B6772B"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including for example: </w:t>
      </w:r>
      <w:bookmarkStart w:id="2" w:name="_Hlk74073243"/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investors and other users of the financial statements, accountants, regulatory members</w:t>
      </w:r>
      <w:r w:rsidR="00225832" w:rsidRPr="000E495B">
        <w:rPr>
          <w:rStyle w:val="Refdenotaalpie"/>
          <w:rFonts w:eastAsia="Times New Roman" w:cstheme="minorHAnsi"/>
          <w:color w:val="333333"/>
          <w:sz w:val="24"/>
          <w:szCs w:val="24"/>
          <w:lang w:eastAsia="es-ES"/>
        </w:rPr>
        <w:footnoteReference w:id="1"/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, audit committee members, academics in the field of accounting or auditing, and audit practitioners.</w:t>
      </w:r>
      <w:r w:rsid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bookmarkEnd w:id="2"/>
    </w:p>
    <w:p w14:paraId="5BBFF135" w14:textId="7AE7FE2B" w:rsidR="000E495B" w:rsidRDefault="000E495B" w:rsidP="006E241A">
      <w:p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</w:p>
    <w:p w14:paraId="361909D2" w14:textId="19820144" w:rsidR="00A325AD" w:rsidRPr="000E495B" w:rsidRDefault="00A00977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344E17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It is expected that the SSBs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Nominations Committee</w:t>
      </w:r>
      <w:r w:rsidRPr="00344E17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will be operational by the end of September 2021, in time to issue the Call for </w:t>
      </w:r>
      <w:r w:rsidR="004D3DF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Expressions of Interest </w:t>
      </w:r>
      <w:r w:rsidRPr="00344E17">
        <w:rPr>
          <w:rFonts w:eastAsia="Times New Roman" w:cstheme="minorHAnsi"/>
          <w:color w:val="333333"/>
          <w:sz w:val="24"/>
          <w:szCs w:val="24"/>
          <w:lang w:eastAsia="es-ES"/>
        </w:rPr>
        <w:t>for SSBs membership for terms of service commencing on January 1, 2023 (the Call is expected to be issued  in November 2021).</w:t>
      </w:r>
    </w:p>
    <w:p w14:paraId="450BDEDE" w14:textId="77777777" w:rsidR="00B74A11" w:rsidRPr="000E495B" w:rsidRDefault="00B74A11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1A11EB0D" w14:textId="24E5CDAD" w:rsidR="00860E8D" w:rsidRPr="000E495B" w:rsidRDefault="00860E8D" w:rsidP="006E241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SSBs NOMINATIONS COMMITTEE RESPONSIBILITIES</w:t>
      </w:r>
    </w:p>
    <w:p w14:paraId="3FCD59C6" w14:textId="2A7FA9BC" w:rsidR="00A325AD" w:rsidRPr="000E495B" w:rsidRDefault="00A325A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6DA248A3" w14:textId="65D56DD8" w:rsidR="006E21B7" w:rsidRPr="000E495B" w:rsidRDefault="008E2C30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The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Committee 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>review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4D3DF8">
        <w:rPr>
          <w:rFonts w:eastAsia="Times New Roman" w:cstheme="minorHAnsi"/>
          <w:color w:val="333333"/>
          <w:sz w:val="24"/>
          <w:szCs w:val="24"/>
          <w:lang w:eastAsia="es-ES"/>
        </w:rPr>
        <w:t>applications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>, carr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ies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out the selection</w:t>
      </w:r>
      <w:r w:rsidR="002D311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process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>, and make</w:t>
      </w:r>
      <w:r w:rsidR="00D6310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="000E495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>recommendations to the PIOB for appointment of</w:t>
      </w:r>
      <w:r w:rsidR="00670E97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>IAASB and IESBA members</w:t>
      </w:r>
      <w:r w:rsidR="000E495B">
        <w:rPr>
          <w:rFonts w:eastAsia="Times New Roman" w:cstheme="minorHAnsi"/>
          <w:color w:val="333333"/>
          <w:sz w:val="24"/>
          <w:szCs w:val="24"/>
          <w:lang w:eastAsia="es-ES"/>
        </w:rPr>
        <w:t>hip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, including 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lastRenderedPageBreak/>
        <w:t xml:space="preserve">the </w:t>
      </w:r>
      <w:r w:rsidR="008A0A9A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SSBs’ </w:t>
      </w:r>
      <w:r w:rsidR="003C4A27" w:rsidRPr="000E495B">
        <w:rPr>
          <w:rFonts w:eastAsia="Times New Roman" w:cstheme="minorHAnsi"/>
          <w:color w:val="333333"/>
          <w:sz w:val="24"/>
          <w:szCs w:val="24"/>
          <w:lang w:eastAsia="es-ES"/>
        </w:rPr>
        <w:t>Chairs.</w:t>
      </w:r>
      <w:r w:rsidR="00EB717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SSB</w:t>
      </w:r>
      <w:r w:rsidR="00173B60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="00EB717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>Nominations</w:t>
      </w:r>
      <w:r w:rsidR="00EB717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Committee members act in the public interest</w:t>
      </w:r>
      <w:r w:rsidR="00F35398" w:rsidRPr="00F35398">
        <w:t xml:space="preserve"> </w:t>
      </w:r>
      <w:r w:rsidR="00F35398" w:rsidRPr="0011059C">
        <w:rPr>
          <w:sz w:val="24"/>
          <w:szCs w:val="24"/>
        </w:rPr>
        <w:t>to ensure that diverse stakeholder views are represented in the SSBs in a balanced manner</w:t>
      </w:r>
      <w:r w:rsidR="00EB7172">
        <w:rPr>
          <w:rFonts w:eastAsia="Times New Roman" w:cstheme="minorHAnsi"/>
          <w:color w:val="333333"/>
          <w:sz w:val="24"/>
          <w:szCs w:val="24"/>
          <w:lang w:eastAsia="es-ES"/>
        </w:rPr>
        <w:t>.</w:t>
      </w:r>
    </w:p>
    <w:p w14:paraId="0E8FC629" w14:textId="77777777" w:rsidR="00A00977" w:rsidRDefault="00A00977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17FBFAD6" w14:textId="1B0EDC3C" w:rsidR="00DC3D46" w:rsidRDefault="006E21B7" w:rsidP="006E241A">
      <w:pPr>
        <w:pStyle w:val="Textoindependiente2"/>
      </w:pPr>
      <w:r w:rsidRPr="000E495B">
        <w:t>The SSB</w:t>
      </w:r>
      <w:r w:rsidR="00173B60">
        <w:t>s</w:t>
      </w:r>
      <w:r w:rsidRPr="000E495B">
        <w:t xml:space="preserve"> Nominations Committee is responsible for the preparation and issuance of the annual call for</w:t>
      </w:r>
      <w:r w:rsidR="00860E8D" w:rsidRPr="000E495B">
        <w:t xml:space="preserve"> Expressions of Interest</w:t>
      </w:r>
      <w:r w:rsidRPr="000E495B">
        <w:t xml:space="preserve">, review of </w:t>
      </w:r>
      <w:r w:rsidR="00860E8D" w:rsidRPr="000E495B">
        <w:t xml:space="preserve">applications </w:t>
      </w:r>
      <w:r w:rsidRPr="000E495B">
        <w:t xml:space="preserve"> for IAASB and IESBA vacancies using the respective skills matri</w:t>
      </w:r>
      <w:r w:rsidR="00173B60">
        <w:t>ces</w:t>
      </w:r>
      <w:r w:rsidRPr="000E495B">
        <w:t xml:space="preserve"> of the SSBs, shortlist</w:t>
      </w:r>
      <w:r w:rsidR="00173B60">
        <w:t>ing</w:t>
      </w:r>
      <w:r w:rsidRPr="000E495B">
        <w:t xml:space="preserve"> of candidates, interview</w:t>
      </w:r>
      <w:r w:rsidR="00173B60">
        <w:t>ing</w:t>
      </w:r>
      <w:r w:rsidRPr="000E495B">
        <w:t xml:space="preserve"> and evaluation of potential candidates, and ultimate recommendation of selected candidates for PIOB approval</w:t>
      </w:r>
      <w:r w:rsidR="007E4216" w:rsidRPr="000E495B">
        <w:t>.</w:t>
      </w:r>
      <w:r w:rsidR="00225832" w:rsidRPr="000E495B">
        <w:t xml:space="preserve"> </w:t>
      </w:r>
      <w:r w:rsidR="007D5115">
        <w:t xml:space="preserve"> </w:t>
      </w:r>
      <w:r w:rsidR="00225832" w:rsidRPr="000E495B">
        <w:t xml:space="preserve">Specifically, </w:t>
      </w:r>
      <w:r w:rsidR="007E4216" w:rsidRPr="000E495B">
        <w:t>Committee members will be responsible for</w:t>
      </w:r>
      <w:r w:rsidR="000E495B">
        <w:t>:</w:t>
      </w:r>
    </w:p>
    <w:p w14:paraId="4587754B" w14:textId="77777777" w:rsidR="000E495B" w:rsidRPr="000E495B" w:rsidRDefault="000E495B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62FED53A" w14:textId="0C76B7A1" w:rsidR="00D716C2" w:rsidRPr="000E495B" w:rsidRDefault="00D716C2" w:rsidP="006E241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Preparing, attending, and actively participating in SSBs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>Nominations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Committee meetings </w:t>
      </w:r>
    </w:p>
    <w:p w14:paraId="10D11448" w14:textId="286A7811" w:rsidR="007E4216" w:rsidRPr="000E495B" w:rsidRDefault="00EB7172" w:rsidP="006E241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Reviewing and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 xml:space="preserve">approving </w:t>
      </w:r>
      <w:r w:rsidR="006E241A" w:rsidRPr="000E495B">
        <w:rPr>
          <w:rFonts w:eastAsia="Times New Roman" w:cstheme="minorHAnsi"/>
          <w:color w:val="333333"/>
          <w:sz w:val="24"/>
          <w:szCs w:val="24"/>
          <w:lang w:eastAsia="es-ES"/>
        </w:rPr>
        <w:t>the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annual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Call for 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>Expression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of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I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>nterest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 for membership of the IAASB and IESBA</w:t>
      </w:r>
    </w:p>
    <w:p w14:paraId="6EA90D2C" w14:textId="178CDBA0" w:rsidR="007E4216" w:rsidRPr="000E495B" w:rsidRDefault="007E4216" w:rsidP="006E241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Reviewing candidates’ CVs and selecting short-listed candidates</w:t>
      </w:r>
      <w:r w:rsidR="00B6772B"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guided by the SSBs</w:t>
      </w:r>
      <w:r w:rsidR="00173B60">
        <w:rPr>
          <w:rFonts w:eastAsia="Times New Roman" w:cstheme="minorHAnsi"/>
          <w:color w:val="333333"/>
          <w:sz w:val="24"/>
          <w:szCs w:val="24"/>
          <w:lang w:eastAsia="es-ES"/>
        </w:rPr>
        <w:t>’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Skills Framework and with the objective to ensure a </w:t>
      </w:r>
      <w:r w:rsidR="00302668">
        <w:rPr>
          <w:rFonts w:eastAsia="Times New Roman" w:cstheme="minorHAnsi"/>
          <w:color w:val="333333"/>
          <w:sz w:val="24"/>
          <w:szCs w:val="24"/>
          <w:lang w:eastAsia="es-ES"/>
        </w:rPr>
        <w:t>multistakeholder</w:t>
      </w:r>
      <w:r w:rsidR="00302668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composition </w:t>
      </w:r>
      <w:r w:rsidR="00B6772B">
        <w:rPr>
          <w:rFonts w:eastAsia="Times New Roman" w:cstheme="minorHAnsi"/>
          <w:color w:val="333333"/>
          <w:sz w:val="24"/>
          <w:szCs w:val="24"/>
          <w:lang w:eastAsia="es-ES"/>
        </w:rPr>
        <w:t>of</w:t>
      </w:r>
      <w:r w:rsidR="00B6772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IAASB and </w:t>
      </w:r>
      <w:r w:rsidR="00173B60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</w:t>
      </w:r>
      <w:proofErr w:type="gramStart"/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IESBA</w:t>
      </w:r>
      <w:proofErr w:type="gramEnd"/>
    </w:p>
    <w:p w14:paraId="666B3CF4" w14:textId="11D24C7D" w:rsidR="007E4216" w:rsidRDefault="007E4216" w:rsidP="006E241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Conducting interviews with short-listed candidates</w:t>
      </w:r>
    </w:p>
    <w:p w14:paraId="63F7D965" w14:textId="4BCD1633" w:rsidR="00EB7172" w:rsidRPr="000E495B" w:rsidRDefault="00B6772B" w:rsidP="006E241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Directing and overseeing</w:t>
      </w:r>
      <w:r w:rsidRPr="00436D26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EB7172" w:rsidRPr="00436D26">
        <w:rPr>
          <w:rFonts w:eastAsia="Times New Roman" w:cstheme="minorHAnsi"/>
          <w:color w:val="333333"/>
          <w:sz w:val="24"/>
          <w:szCs w:val="24"/>
          <w:lang w:eastAsia="es-ES"/>
        </w:rPr>
        <w:t>the nominations process and related guidelines and publications</w:t>
      </w:r>
    </w:p>
    <w:p w14:paraId="46B65526" w14:textId="15D9849D" w:rsidR="00860E8D" w:rsidRPr="000E495B" w:rsidRDefault="007E4216" w:rsidP="006E241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Engaging broadly to assist in the sourcing of high-quality candidates </w:t>
      </w:r>
      <w:proofErr w:type="gramStart"/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globally</w:t>
      </w:r>
      <w:proofErr w:type="gramEnd"/>
    </w:p>
    <w:p w14:paraId="61A7247B" w14:textId="77777777" w:rsidR="00860E8D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642F6330" w14:textId="6CB21696" w:rsidR="00860E8D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Every member of the Committee signs an annual statement confirming that he/she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>/they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will act in the public interest in discharging their role within the Committee.</w:t>
      </w:r>
    </w:p>
    <w:p w14:paraId="501F0E1D" w14:textId="526D5FE7" w:rsidR="00860E8D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4904F3F0" w14:textId="0AE26894" w:rsidR="00860E8D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The SSBs Nominations Committee is supported by the PIOB Secretariat</w:t>
      </w:r>
      <w:r w:rsidR="00E40BBF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 through a dedicated resource to support the Committee</w:t>
      </w:r>
      <w:r w:rsidR="00302668">
        <w:rPr>
          <w:rFonts w:eastAsia="Times New Roman" w:cstheme="minorHAnsi"/>
          <w:color w:val="333333"/>
          <w:sz w:val="24"/>
          <w:szCs w:val="24"/>
          <w:lang w:eastAsia="es-ES"/>
        </w:rPr>
        <w:t>’</w:t>
      </w:r>
      <w:r w:rsidR="00E40BBF">
        <w:rPr>
          <w:rFonts w:eastAsia="Times New Roman" w:cstheme="minorHAnsi"/>
          <w:color w:val="333333"/>
          <w:sz w:val="24"/>
          <w:szCs w:val="24"/>
          <w:lang w:eastAsia="es-ES"/>
        </w:rPr>
        <w:t>s work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.</w:t>
      </w:r>
    </w:p>
    <w:p w14:paraId="18822E47" w14:textId="77777777" w:rsidR="004168DA" w:rsidRPr="000E495B" w:rsidRDefault="004168DA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bookmarkStart w:id="3" w:name="question1"/>
      <w:bookmarkEnd w:id="3"/>
    </w:p>
    <w:p w14:paraId="495D54D4" w14:textId="0518205A" w:rsidR="001C3D1F" w:rsidRPr="000E495B" w:rsidRDefault="0022373A" w:rsidP="006E241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3</w:t>
      </w:r>
      <w:r w:rsidR="00860E8D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. </w:t>
      </w:r>
      <w:r w:rsidR="001C3D1F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MEMBERHIP</w:t>
      </w:r>
      <w:r w:rsidR="008E2C30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AND TERMS OF SERVICE</w:t>
      </w:r>
      <w:r w:rsidR="00EE260F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</w:t>
      </w:r>
    </w:p>
    <w:p w14:paraId="1F48E4FC" w14:textId="77777777" w:rsidR="00EE260F" w:rsidRPr="000E495B" w:rsidRDefault="00EE260F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4C4D788E" w14:textId="07196D76" w:rsidR="00391C7D" w:rsidRDefault="00EE1CE5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The SSB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Nom</w:t>
      </w:r>
      <w:r w:rsidR="00860E8D" w:rsidRPr="000E495B">
        <w:rPr>
          <w:rFonts w:eastAsia="Times New Roman" w:cstheme="minorHAnsi"/>
          <w:color w:val="333333"/>
          <w:sz w:val="24"/>
          <w:szCs w:val="24"/>
          <w:lang w:eastAsia="es-ES"/>
        </w:rPr>
        <w:t>inations</w:t>
      </w:r>
      <w:r w:rsidR="00657D3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860E8D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Committee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comprise</w:t>
      </w:r>
      <w:r w:rsidR="00B6772B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seven members, including the Chair, representing diverse</w:t>
      </w:r>
      <w:r w:rsidR="00375BDB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geographies, </w:t>
      </w:r>
      <w:proofErr w:type="gramStart"/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experience</w:t>
      </w:r>
      <w:proofErr w:type="gramEnd"/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and genders</w:t>
      </w:r>
      <w:r w:rsidR="00375BD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.</w:t>
      </w:r>
    </w:p>
    <w:p w14:paraId="244AC548" w14:textId="77777777" w:rsidR="000E495B" w:rsidRPr="000E495B" w:rsidRDefault="000E495B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49FCD3B7" w14:textId="09B385CC" w:rsidR="00BE329F" w:rsidRDefault="008E2C30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The PIOB nominate</w:t>
      </w:r>
      <w:r w:rsidR="00375BD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four members, 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>including</w:t>
      </w:r>
      <w:r w:rsidR="00B82EF9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Chair, to the </w:t>
      </w:r>
      <w:r w:rsidR="00DD17B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C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ommittee. 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>This call is for the three PIOB nominees excluding the Chair, whose nomination follows a different process.</w:t>
      </w:r>
    </w:p>
    <w:p w14:paraId="22301464" w14:textId="77777777" w:rsidR="00BE329F" w:rsidRDefault="00BE329F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0E4CCDED" w14:textId="63D62162" w:rsidR="00EB798E" w:rsidRDefault="008E2C30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IFAC nom</w:t>
      </w:r>
      <w:r w:rsidR="004168DA" w:rsidRPr="000E495B">
        <w:rPr>
          <w:rFonts w:eastAsia="Times New Roman" w:cstheme="minorHAnsi"/>
          <w:color w:val="333333"/>
          <w:sz w:val="24"/>
          <w:szCs w:val="24"/>
          <w:lang w:eastAsia="es-ES"/>
        </w:rPr>
        <w:t>inate</w:t>
      </w:r>
      <w:r w:rsidR="00375BDB" w:rsidRPr="000E495B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="004168DA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three members to the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Committee.</w:t>
      </w:r>
      <w:r w:rsidR="00436D26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4D3DF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IFAC is issuing a separate call to identify 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its </w:t>
      </w:r>
      <w:r w:rsidR="004D3DF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nominees. </w:t>
      </w:r>
    </w:p>
    <w:p w14:paraId="215A953C" w14:textId="77777777" w:rsidR="000E495B" w:rsidRPr="000E495B" w:rsidRDefault="000E495B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0D82CEF7" w14:textId="10CC18A8" w:rsidR="004A0B6B" w:rsidRDefault="00E25AAF" w:rsidP="006E241A">
      <w:pPr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lastRenderedPageBreak/>
        <w:t>SSB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>Nominations</w:t>
      </w:r>
      <w:r w:rsidR="007D511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Committee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members will serve for a term of three years, </w:t>
      </w:r>
      <w:r w:rsidR="00DE3F59" w:rsidRPr="000E495B">
        <w:rPr>
          <w:rFonts w:eastAsia="Times New Roman" w:cstheme="minorHAnsi"/>
          <w:color w:val="333333"/>
          <w:sz w:val="24"/>
          <w:szCs w:val="24"/>
          <w:lang w:eastAsia="es-ES"/>
        </w:rPr>
        <w:t>renewable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once.</w:t>
      </w:r>
      <w:r w:rsidR="00A4346D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 </w:t>
      </w:r>
      <w:r w:rsidR="00A4346D" w:rsidRPr="0022373A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initial terms will likely be staggered to ensure the gradual rotation of membership. </w:t>
      </w:r>
    </w:p>
    <w:p w14:paraId="05245F5D" w14:textId="4B8E8DEE" w:rsidR="007A3673" w:rsidRDefault="002A1F65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PIOB is responsible for </w:t>
      </w:r>
      <w:r w:rsidR="003773F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approving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all the </w:t>
      </w:r>
      <w:r w:rsidR="00A4346D">
        <w:rPr>
          <w:rFonts w:eastAsia="Times New Roman" w:cstheme="minorHAnsi"/>
          <w:color w:val="333333"/>
          <w:sz w:val="24"/>
          <w:szCs w:val="24"/>
          <w:lang w:eastAsia="es-ES"/>
        </w:rPr>
        <w:t xml:space="preserve">appointments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to the Committee</w:t>
      </w:r>
      <w:r w:rsidR="00095DBF">
        <w:rPr>
          <w:rFonts w:eastAsia="Times New Roman" w:cstheme="minorHAnsi"/>
          <w:color w:val="333333"/>
          <w:sz w:val="24"/>
          <w:szCs w:val="24"/>
          <w:lang w:eastAsia="es-ES"/>
        </w:rPr>
        <w:t xml:space="preserve">, </w:t>
      </w:r>
      <w:r w:rsidR="00F3539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ensuring </w:t>
      </w:r>
      <w:r w:rsidR="003773F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a </w:t>
      </w:r>
      <w:r w:rsidR="00F35398">
        <w:rPr>
          <w:rFonts w:eastAsia="Times New Roman" w:cstheme="minorHAnsi"/>
          <w:color w:val="333333"/>
          <w:sz w:val="24"/>
          <w:szCs w:val="24"/>
          <w:lang w:eastAsia="es-ES"/>
        </w:rPr>
        <w:t>balance</w:t>
      </w:r>
      <w:r w:rsidR="003773F3">
        <w:rPr>
          <w:rFonts w:eastAsia="Times New Roman" w:cstheme="minorHAnsi"/>
          <w:color w:val="333333"/>
          <w:sz w:val="24"/>
          <w:szCs w:val="24"/>
          <w:lang w:eastAsia="es-ES"/>
        </w:rPr>
        <w:t>d composition</w:t>
      </w:r>
      <w:r w:rsidR="00F3539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in overall membership.</w:t>
      </w:r>
    </w:p>
    <w:p w14:paraId="2168F0F4" w14:textId="77777777" w:rsidR="00D06724" w:rsidRPr="000E495B" w:rsidRDefault="00D06724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325B604D" w14:textId="36282B05" w:rsidR="007E4216" w:rsidRDefault="0022373A" w:rsidP="006E241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4</w:t>
      </w:r>
      <w:r w:rsidR="00D06724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.</w:t>
      </w:r>
      <w:r w:rsidR="000E495B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</w:t>
      </w:r>
      <w:r w:rsidR="007E4216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DESIRED PROFILE AND EXPERIENCE</w:t>
      </w:r>
    </w:p>
    <w:p w14:paraId="4A124E50" w14:textId="38F2AAAE" w:rsidR="000E495B" w:rsidRPr="000E495B" w:rsidRDefault="00A4346D" w:rsidP="006E241A">
      <w:pPr>
        <w:shd w:val="clear" w:color="auto" w:fill="FFFFFF"/>
        <w:tabs>
          <w:tab w:val="left" w:pos="6999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ab/>
      </w:r>
    </w:p>
    <w:p w14:paraId="082CFF84" w14:textId="67AD086F" w:rsidR="002A1F65" w:rsidRDefault="00804B80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Expression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of interest are welcome from </w:t>
      </w:r>
      <w:r w:rsidR="0035134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candidates from </w:t>
      </w:r>
      <w:r w:rsidR="00663570" w:rsidRPr="000E495B">
        <w:rPr>
          <w:rFonts w:eastAsia="Times New Roman" w:cstheme="minorHAnsi"/>
          <w:color w:val="333333"/>
          <w:sz w:val="24"/>
          <w:szCs w:val="24"/>
          <w:lang w:eastAsia="es-ES"/>
        </w:rPr>
        <w:t>geographically and experientially diverse stakeholder groups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>. Candidates must demonstrate</w:t>
      </w:r>
      <w:r w:rsidR="00663570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the ability to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contribute to ensuring that the 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multistakeholder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composition of the </w:t>
      </w:r>
      <w:r w:rsidR="00657D35">
        <w:rPr>
          <w:rFonts w:eastAsia="Times New Roman" w:cstheme="minorHAnsi"/>
          <w:color w:val="333333"/>
          <w:sz w:val="24"/>
          <w:szCs w:val="24"/>
          <w:lang w:eastAsia="es-ES"/>
        </w:rPr>
        <w:t>IAASB and IESBA</w:t>
      </w:r>
      <w:r w:rsidR="00663570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is responsive to the public interest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</w:t>
      </w:r>
      <w:r w:rsidR="002A1F65" w:rsidRPr="000E495B">
        <w:rPr>
          <w:rFonts w:eastAsia="Times New Roman" w:cstheme="minorHAnsi"/>
          <w:color w:val="333333"/>
          <w:sz w:val="24"/>
          <w:szCs w:val="24"/>
          <w:lang w:eastAsia="es-ES"/>
        </w:rPr>
        <w:t>Candidates should possess high integrity and a public interest mind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>set</w:t>
      </w:r>
      <w:r w:rsidR="002A1F65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</w:t>
      </w:r>
    </w:p>
    <w:p w14:paraId="58DD50A2" w14:textId="77777777" w:rsidR="002A1F65" w:rsidRDefault="002A1F65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60E51EA0" w14:textId="2E14390C" w:rsidR="000E495B" w:rsidRDefault="00804B80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A</w:t>
      </w:r>
      <w:r w:rsidR="008E3769">
        <w:rPr>
          <w:rFonts w:eastAsia="Times New Roman" w:cstheme="minorHAnsi"/>
          <w:color w:val="333333"/>
          <w:sz w:val="24"/>
          <w:szCs w:val="24"/>
          <w:lang w:eastAsia="es-ES"/>
        </w:rPr>
        <w:t>n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8E3769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indication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of possible backgrounds </w:t>
      </w:r>
      <w:r w:rsidR="008E3769">
        <w:rPr>
          <w:rFonts w:eastAsia="Times New Roman" w:cstheme="minorHAnsi"/>
          <w:color w:val="333333"/>
          <w:sz w:val="24"/>
          <w:szCs w:val="24"/>
          <w:lang w:eastAsia="es-ES"/>
        </w:rPr>
        <w:t>is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: </w:t>
      </w:r>
    </w:p>
    <w:p w14:paraId="5F8BDE55" w14:textId="77777777" w:rsidR="007D5115" w:rsidRDefault="007D5115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0FF9DBD9" w14:textId="00DA8FBF" w:rsidR="000E495B" w:rsidRPr="000E495B" w:rsidRDefault="007D5115" w:rsidP="006E241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I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nvestors and other users of the financial statements, accountants </w:t>
      </w:r>
    </w:p>
    <w:p w14:paraId="19839E6C" w14:textId="5BC93407" w:rsidR="000E495B" w:rsidRPr="000E495B" w:rsidRDefault="007D5115" w:rsidP="006E241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R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>egulatory members</w:t>
      </w:r>
      <w:r w:rsidR="00FB77CD">
        <w:rPr>
          <w:rStyle w:val="Refdenotaalpie"/>
          <w:rFonts w:eastAsia="Times New Roman" w:cstheme="minorHAnsi"/>
          <w:color w:val="333333"/>
          <w:sz w:val="24"/>
          <w:szCs w:val="24"/>
          <w:lang w:eastAsia="es-ES"/>
        </w:rPr>
        <w:footnoteReference w:id="2"/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(including different regulatory and supervisory institutions and their respective constituents</w:t>
      </w:r>
      <w:r w:rsidR="002C6ED9">
        <w:rPr>
          <w:rFonts w:eastAsia="Times New Roman" w:cstheme="minorHAnsi"/>
          <w:color w:val="333333"/>
          <w:sz w:val="24"/>
          <w:szCs w:val="24"/>
          <w:lang w:eastAsia="es-ES"/>
        </w:rPr>
        <w:t>)</w:t>
      </w:r>
    </w:p>
    <w:p w14:paraId="017A00C0" w14:textId="50DDDFBD" w:rsidR="00FB77CD" w:rsidRDefault="00FB77CD" w:rsidP="006E241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National standard setters</w:t>
      </w:r>
    </w:p>
    <w:p w14:paraId="578D98FD" w14:textId="782A34EB" w:rsidR="000E495B" w:rsidRPr="000E495B" w:rsidRDefault="002C6ED9" w:rsidP="006E241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Those with governance experience, especially as a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udit 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>committee members,</w:t>
      </w:r>
    </w:p>
    <w:p w14:paraId="7BB9F343" w14:textId="419C7CDF" w:rsidR="000E495B" w:rsidRPr="000E495B" w:rsidRDefault="007D5115" w:rsidP="006E241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A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>cademics in the field of accounting or auditing</w:t>
      </w:r>
    </w:p>
    <w:p w14:paraId="6054E113" w14:textId="77777777" w:rsidR="000E495B" w:rsidRPr="007D5115" w:rsidRDefault="000E495B" w:rsidP="006E241A">
      <w:pPr>
        <w:shd w:val="clear" w:color="auto" w:fill="FFFFFF"/>
        <w:spacing w:after="0" w:line="240" w:lineRule="auto"/>
        <w:ind w:left="360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5470C40A" w14:textId="4D41F6B2" w:rsidR="0019181A" w:rsidRDefault="00804B80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Backgrounds must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also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include significant career experience </w:t>
      </w:r>
      <w:r w:rsidR="0022373A" w:rsidRPr="00436D26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in senior level or leadership positions, including considerable international experience, and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relevant experience to discharge </w:t>
      </w:r>
      <w:r w:rsidR="002A1F65">
        <w:rPr>
          <w:rFonts w:eastAsia="Times New Roman" w:cstheme="minorHAnsi"/>
          <w:color w:val="333333"/>
          <w:sz w:val="24"/>
          <w:szCs w:val="24"/>
          <w:lang w:eastAsia="es-ES"/>
        </w:rPr>
        <w:t>the member’s</w:t>
      </w:r>
      <w:r w:rsidR="002A1F65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public interest responsibilities independently and effectively. </w:t>
      </w:r>
      <w:r w:rsidR="0022373A" w:rsidRPr="00436D26">
        <w:rPr>
          <w:rFonts w:eastAsia="Times New Roman" w:cstheme="minorHAnsi"/>
          <w:color w:val="333333"/>
          <w:sz w:val="24"/>
          <w:szCs w:val="24"/>
          <w:lang w:eastAsia="es-ES"/>
        </w:rPr>
        <w:t>Experience with selection process</w:t>
      </w:r>
      <w:r w:rsidR="00D716C2" w:rsidRPr="00436D26">
        <w:rPr>
          <w:rFonts w:eastAsia="Times New Roman" w:cstheme="minorHAnsi"/>
          <w:color w:val="333333"/>
          <w:sz w:val="24"/>
          <w:szCs w:val="24"/>
          <w:lang w:eastAsia="es-ES"/>
        </w:rPr>
        <w:t>es</w:t>
      </w:r>
      <w:r w:rsidR="0019181A" w:rsidRPr="00436D26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22373A" w:rsidRPr="00436D26">
        <w:rPr>
          <w:rFonts w:eastAsia="Times New Roman" w:cstheme="minorHAnsi"/>
          <w:color w:val="333333"/>
          <w:sz w:val="24"/>
          <w:szCs w:val="24"/>
          <w:lang w:eastAsia="es-ES"/>
        </w:rPr>
        <w:t>would also be an important consideration.</w:t>
      </w:r>
    </w:p>
    <w:p w14:paraId="3F58C588" w14:textId="77777777" w:rsidR="00436D26" w:rsidRPr="00436D26" w:rsidRDefault="00436D26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5276A2BE" w14:textId="3B3B718F" w:rsidR="008E3769" w:rsidRDefault="00293BE0" w:rsidP="006E241A">
      <w:pPr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19181A">
        <w:rPr>
          <w:rFonts w:eastAsia="Times New Roman" w:cstheme="minorHAnsi"/>
          <w:color w:val="333333"/>
          <w:sz w:val="24"/>
          <w:szCs w:val="24"/>
          <w:lang w:eastAsia="es-ES"/>
        </w:rPr>
        <w:t>English proficiency (both written and oral) is essential.</w:t>
      </w:r>
    </w:p>
    <w:p w14:paraId="02416E76" w14:textId="540DE4B6" w:rsidR="000E495B" w:rsidRPr="000E495B" w:rsidRDefault="0022373A" w:rsidP="006E241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5</w:t>
      </w:r>
      <w:r w:rsidR="000E495B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. ESTIMATED TIME COM</w:t>
      </w:r>
      <w:r w:rsidR="00293BE0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M</w:t>
      </w:r>
      <w:r w:rsidR="000E495B" w:rsidRPr="000E495B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ITMENT </w:t>
      </w:r>
    </w:p>
    <w:p w14:paraId="1B5C4FA2" w14:textId="77777777" w:rsidR="000E495B" w:rsidRDefault="000E495B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4E8F520E" w14:textId="68C289C3" w:rsidR="00860E8D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Total time commitment is </w:t>
      </w:r>
      <w:r w:rsidR="0019181A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estimated to be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approximately 100 hours per year, excluding travel.</w:t>
      </w:r>
      <w:r w:rsidR="0019181A" w:rsidRPr="0019181A">
        <w:rPr>
          <w:rFonts w:eastAsia="Times New Roman" w:cs="Times New Roman"/>
          <w:b/>
          <w:bCs/>
          <w:kern w:val="20"/>
          <w:szCs w:val="20"/>
        </w:rPr>
        <w:t xml:space="preserve"> </w:t>
      </w:r>
      <w:r w:rsidR="0019181A" w:rsidRPr="0019181A">
        <w:rPr>
          <w:rFonts w:eastAsia="Times New Roman" w:cstheme="minorHAnsi"/>
          <w:color w:val="333333"/>
          <w:sz w:val="24"/>
          <w:szCs w:val="24"/>
          <w:lang w:eastAsia="es-ES"/>
        </w:rPr>
        <w:t xml:space="preserve">Once the SSBs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>Nominations</w:t>
      </w:r>
      <w:r w:rsidR="00D716C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19181A" w:rsidRPr="0019181A">
        <w:rPr>
          <w:rFonts w:eastAsia="Times New Roman" w:cstheme="minorHAnsi"/>
          <w:color w:val="333333"/>
          <w:sz w:val="24"/>
          <w:szCs w:val="24"/>
          <w:lang w:eastAsia="es-ES"/>
        </w:rPr>
        <w:t>Co</w:t>
      </w:r>
      <w:r w:rsidR="00D716C2">
        <w:rPr>
          <w:rFonts w:eastAsia="Times New Roman" w:cstheme="minorHAnsi"/>
          <w:color w:val="333333"/>
          <w:sz w:val="24"/>
          <w:szCs w:val="24"/>
          <w:lang w:eastAsia="es-ES"/>
        </w:rPr>
        <w:t>mmittee</w:t>
      </w:r>
      <w:r w:rsidR="0019181A" w:rsidRPr="0019181A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is established and has experience in carrying out its role, this time commitment might decrease</w:t>
      </w:r>
      <w:r w:rsidR="0019181A">
        <w:rPr>
          <w:rFonts w:eastAsia="Times New Roman" w:cstheme="minorHAnsi"/>
          <w:color w:val="333333"/>
          <w:sz w:val="24"/>
          <w:szCs w:val="24"/>
          <w:lang w:eastAsia="es-ES"/>
        </w:rPr>
        <w:t>.</w:t>
      </w:r>
    </w:p>
    <w:p w14:paraId="120C121F" w14:textId="77777777" w:rsidR="000E495B" w:rsidRPr="000E495B" w:rsidRDefault="000E495B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468C0EA7" w14:textId="5159A4B9" w:rsidR="007E4216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lastRenderedPageBreak/>
        <w:t xml:space="preserve">The </w:t>
      </w:r>
      <w:r w:rsidR="00F93329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SSBs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>Nominations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Committee will 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generally meet </w:t>
      </w:r>
      <w:r w:rsidR="0019181A">
        <w:rPr>
          <w:rFonts w:eastAsia="Times New Roman" w:cstheme="minorHAnsi"/>
          <w:color w:val="333333"/>
          <w:sz w:val="24"/>
          <w:szCs w:val="24"/>
          <w:lang w:eastAsia="es-ES"/>
        </w:rPr>
        <w:t>4-6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times a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year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The combination </w:t>
      </w:r>
      <w:r w:rsidR="00D716C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of 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>on-line and physical meetings will be determined by the current C</w:t>
      </w:r>
      <w:r w:rsidR="000E495B">
        <w:rPr>
          <w:rFonts w:eastAsia="Times New Roman" w:cstheme="minorHAnsi"/>
          <w:color w:val="333333"/>
          <w:sz w:val="24"/>
          <w:szCs w:val="24"/>
          <w:lang w:eastAsia="es-ES"/>
        </w:rPr>
        <w:t>ovid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circumstances in the short run. Physical meetings will require travel and generally last one or two days.  Virtual meetings will be </w:t>
      </w:r>
      <w:r w:rsidR="006E241A" w:rsidRPr="000E495B">
        <w:rPr>
          <w:rFonts w:eastAsia="Times New Roman" w:cstheme="minorHAnsi"/>
          <w:color w:val="333333"/>
          <w:sz w:val="24"/>
          <w:szCs w:val="24"/>
          <w:lang w:eastAsia="es-ES"/>
        </w:rPr>
        <w:t>held,</w:t>
      </w:r>
      <w:r w:rsidR="007E4216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when possible, especially for conducting interviews with candidates.</w:t>
      </w:r>
      <w:r w:rsidR="007D511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</w:p>
    <w:p w14:paraId="11AAECD4" w14:textId="22997946" w:rsidR="00225832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</w:p>
    <w:p w14:paraId="3B43CC61" w14:textId="0BE25980" w:rsidR="00225832" w:rsidRDefault="0022373A" w:rsidP="006E241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6</w:t>
      </w:r>
      <w:r w:rsidR="007D5115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. </w:t>
      </w:r>
      <w:r w:rsidR="00225832" w:rsidRPr="007D5115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REMUNERATION</w:t>
      </w:r>
    </w:p>
    <w:p w14:paraId="2D63BCAA" w14:textId="77777777" w:rsidR="006841BF" w:rsidRPr="007D5115" w:rsidRDefault="006841BF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</w:p>
    <w:p w14:paraId="23E76C8A" w14:textId="77113787" w:rsidR="00225832" w:rsidRDefault="00F93329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SSBs </w:t>
      </w:r>
      <w:r w:rsidR="006E241A">
        <w:rPr>
          <w:rFonts w:eastAsia="Times New Roman" w:cstheme="minorHAnsi"/>
          <w:color w:val="333333"/>
          <w:sz w:val="24"/>
          <w:szCs w:val="24"/>
          <w:lang w:eastAsia="es-ES"/>
        </w:rPr>
        <w:t>Nominations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Committee members</w:t>
      </w:r>
      <w:r w:rsidR="00293BE0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are eligible to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receive an annual stipend of </w:t>
      </w:r>
      <w:r w:rsidR="00C9104E">
        <w:rPr>
          <w:rFonts w:eastAsia="Times New Roman" w:cstheme="minorHAnsi"/>
          <w:color w:val="333333"/>
          <w:sz w:val="24"/>
          <w:szCs w:val="24"/>
          <w:lang w:eastAsia="es-ES"/>
        </w:rPr>
        <w:t>€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15,000. </w:t>
      </w:r>
    </w:p>
    <w:p w14:paraId="36A67F4E" w14:textId="1F19919F" w:rsidR="00657D35" w:rsidRPr="000E495B" w:rsidRDefault="00657D35" w:rsidP="006E241A">
      <w:pPr>
        <w:shd w:val="clear" w:color="auto" w:fill="FFFFFF"/>
        <w:tabs>
          <w:tab w:val="left" w:pos="1507"/>
        </w:tabs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0B3F5381" w14:textId="22ABF0CC" w:rsidR="003A1DA3" w:rsidRDefault="00225832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Travel and accommodation costs will be covered by the PIOB.</w:t>
      </w:r>
    </w:p>
    <w:p w14:paraId="39417AD5" w14:textId="77777777" w:rsidR="00436D26" w:rsidRPr="000E495B" w:rsidRDefault="00436D26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571F594A" w14:textId="05903E06" w:rsidR="00860E8D" w:rsidRDefault="0022373A" w:rsidP="006E241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7</w:t>
      </w:r>
      <w:r w:rsidR="007D5115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. </w:t>
      </w:r>
      <w:r w:rsidR="006841BF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APPLICATION PROCESS</w:t>
      </w:r>
    </w:p>
    <w:p w14:paraId="2D9FAEBE" w14:textId="77777777" w:rsidR="006841BF" w:rsidRPr="007D5115" w:rsidRDefault="006841BF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</w:pPr>
    </w:p>
    <w:p w14:paraId="65235A95" w14:textId="6A8C2C94" w:rsidR="00D06724" w:rsidRDefault="00225832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>Expressions of Interest</w:t>
      </w:r>
      <w:r w:rsidR="00860E8D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can be submitted </w:t>
      </w:r>
      <w:r w:rsidR="00095DBF">
        <w:rPr>
          <w:rFonts w:eastAsia="Times New Roman" w:cstheme="minorHAnsi"/>
          <w:color w:val="333333"/>
          <w:sz w:val="24"/>
          <w:szCs w:val="24"/>
          <w:lang w:eastAsia="es-ES"/>
        </w:rPr>
        <w:t>to</w:t>
      </w:r>
      <w:r w:rsidR="005F7FE0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PIOB </w:t>
      </w:r>
      <w:r w:rsidR="00095DBF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Secretariat </w:t>
      </w:r>
      <w:r w:rsidR="00D06724">
        <w:rPr>
          <w:rFonts w:eastAsia="Times New Roman" w:cstheme="minorHAnsi"/>
          <w:color w:val="333333"/>
          <w:sz w:val="24"/>
          <w:szCs w:val="24"/>
          <w:lang w:eastAsia="es-ES"/>
        </w:rPr>
        <w:t>at:</w:t>
      </w:r>
    </w:p>
    <w:p w14:paraId="19EE5BF3" w14:textId="3B1664BC" w:rsidR="00225832" w:rsidRPr="000E495B" w:rsidRDefault="00D06724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hyperlink r:id="rId9" w:history="1">
        <w:r w:rsidRPr="00450E7A">
          <w:rPr>
            <w:rStyle w:val="Hipervnculo"/>
            <w:rFonts w:asciiTheme="minorHAnsi" w:eastAsia="Times New Roman" w:hAnsiTheme="minorHAnsi" w:cstheme="minorHAnsi"/>
            <w:sz w:val="24"/>
            <w:szCs w:val="24"/>
            <w:lang w:eastAsia="es-ES"/>
          </w:rPr>
          <w:t>SSBNomcosearch@ipiob.org</w:t>
        </w:r>
      </w:hyperlink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095DBF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860E8D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by </w:t>
      </w:r>
      <w:r w:rsidR="00860E8D" w:rsidRPr="00095DBF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July 1</w:t>
      </w:r>
      <w:r w:rsidR="00095DBF" w:rsidRPr="00095DBF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8</w:t>
      </w:r>
      <w:r w:rsidR="00860E8D" w:rsidRPr="00095DBF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, 2021</w:t>
      </w:r>
      <w:r w:rsidR="00860E8D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</w:t>
      </w:r>
    </w:p>
    <w:p w14:paraId="68B153CE" w14:textId="4165B450" w:rsidR="00860E8D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2A4D29D6" w14:textId="1108B402" w:rsidR="006841BF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The 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PIOB 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will review 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expressions of </w:t>
      </w:r>
      <w:r w:rsidR="00E6526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interest, </w:t>
      </w:r>
      <w:proofErr w:type="gramStart"/>
      <w:r w:rsidR="00E6526E">
        <w:rPr>
          <w:rFonts w:eastAsia="Times New Roman" w:cstheme="minorHAnsi"/>
          <w:color w:val="333333"/>
          <w:sz w:val="24"/>
          <w:szCs w:val="24"/>
          <w:lang w:eastAsia="es-ES"/>
        </w:rPr>
        <w:t>identify</w:t>
      </w:r>
      <w:proofErr w:type="gramEnd"/>
      <w:r w:rsidR="00E6526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and perform a video interview of short-listed candidates during the second half of September</w:t>
      </w:r>
      <w:r w:rsidR="00AB758A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2021</w:t>
      </w:r>
      <w:r w:rsidR="00E6526E"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Pr="000E495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and select </w:t>
      </w:r>
      <w:r w:rsidR="00225832" w:rsidRPr="000E495B">
        <w:rPr>
          <w:rFonts w:eastAsia="Times New Roman" w:cstheme="minorHAnsi"/>
          <w:color w:val="333333"/>
          <w:sz w:val="24"/>
          <w:szCs w:val="24"/>
          <w:lang w:eastAsia="es-ES"/>
        </w:rPr>
        <w:t>three members</w:t>
      </w:r>
      <w:r w:rsidR="00E6526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E6526E" w:rsidRPr="005F7FE0">
        <w:rPr>
          <w:rFonts w:eastAsia="Times New Roman" w:cstheme="minorHAnsi"/>
          <w:color w:val="333333"/>
          <w:sz w:val="24"/>
          <w:szCs w:val="24"/>
          <w:lang w:eastAsia="es-ES"/>
        </w:rPr>
        <w:t xml:space="preserve">for final recommendation to be presented to the PIOB Board for approval by the end of September </w:t>
      </w:r>
      <w:r w:rsidR="00436D26" w:rsidRPr="005F7FE0">
        <w:rPr>
          <w:rFonts w:eastAsia="Times New Roman" w:cstheme="minorHAnsi"/>
          <w:color w:val="333333"/>
          <w:sz w:val="24"/>
          <w:szCs w:val="24"/>
          <w:lang w:eastAsia="es-ES"/>
        </w:rPr>
        <w:t>2021.</w:t>
      </w:r>
    </w:p>
    <w:p w14:paraId="35DCB2FA" w14:textId="77777777" w:rsidR="00860E8D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14:paraId="6ECAE993" w14:textId="77777777" w:rsidR="00860E8D" w:rsidRPr="000E495B" w:rsidRDefault="00860E8D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bookmarkEnd w:id="0"/>
    <w:p w14:paraId="7B13175D" w14:textId="77777777" w:rsidR="0029435A" w:rsidRPr="000E495B" w:rsidRDefault="0029435A" w:rsidP="006E241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333333"/>
          <w:sz w:val="24"/>
          <w:szCs w:val="24"/>
          <w:lang w:eastAsia="es-ES"/>
        </w:rPr>
      </w:pPr>
    </w:p>
    <w:sectPr w:rsidR="0029435A" w:rsidRPr="000E495B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32B8" w14:textId="77777777" w:rsidR="00DA4D56" w:rsidRDefault="00DA4D56" w:rsidP="00BF0B5F">
      <w:pPr>
        <w:spacing w:after="0" w:line="240" w:lineRule="auto"/>
      </w:pPr>
      <w:r>
        <w:separator/>
      </w:r>
    </w:p>
  </w:endnote>
  <w:endnote w:type="continuationSeparator" w:id="0">
    <w:p w14:paraId="2CF4C34C" w14:textId="77777777" w:rsidR="00DA4D56" w:rsidRDefault="00DA4D56" w:rsidP="00B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362356"/>
      <w:docPartObj>
        <w:docPartGallery w:val="Page Numbers (Bottom of Page)"/>
        <w:docPartUnique/>
      </w:docPartObj>
    </w:sdtPr>
    <w:sdtContent>
      <w:p w14:paraId="516F19A9" w14:textId="41A1EED4" w:rsidR="00D06724" w:rsidRDefault="00D0672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7E20B5" w14:textId="77777777" w:rsidR="00D06724" w:rsidRDefault="00D06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3C08" w14:textId="77777777" w:rsidR="00DA4D56" w:rsidRDefault="00DA4D56" w:rsidP="00BF0B5F">
      <w:pPr>
        <w:spacing w:after="0" w:line="240" w:lineRule="auto"/>
      </w:pPr>
      <w:r>
        <w:separator/>
      </w:r>
    </w:p>
  </w:footnote>
  <w:footnote w:type="continuationSeparator" w:id="0">
    <w:p w14:paraId="0076EE3C" w14:textId="77777777" w:rsidR="00DA4D56" w:rsidRDefault="00DA4D56" w:rsidP="00BF0B5F">
      <w:pPr>
        <w:spacing w:after="0" w:line="240" w:lineRule="auto"/>
      </w:pPr>
      <w:r>
        <w:continuationSeparator/>
      </w:r>
    </w:p>
  </w:footnote>
  <w:footnote w:id="1">
    <w:p w14:paraId="6CAD704A" w14:textId="0E85F0FB" w:rsidR="00225832" w:rsidRPr="00225832" w:rsidRDefault="00225832">
      <w:pPr>
        <w:pStyle w:val="Textonotapie"/>
      </w:pPr>
      <w:r>
        <w:rPr>
          <w:rStyle w:val="Refdenotaalpie"/>
        </w:rPr>
        <w:footnoteRef/>
      </w:r>
      <w:r>
        <w:t xml:space="preserve"> The reference to regulatory members encompasses the different regulatory and supervisory institutions, and their respective constituents. It shall also encompass national standard </w:t>
      </w:r>
      <w:r w:rsidR="000E495B">
        <w:t>setters.</w:t>
      </w:r>
    </w:p>
  </w:footnote>
  <w:footnote w:id="2">
    <w:p w14:paraId="62E209BB" w14:textId="77777777" w:rsidR="00FB77CD" w:rsidRPr="006E241A" w:rsidRDefault="00FB77CD" w:rsidP="00FB77CD">
      <w:pPr>
        <w:pStyle w:val="Textoindependiente"/>
        <w:spacing w:after="120" w:line="276" w:lineRule="auto"/>
        <w:rPr>
          <w:rFonts w:asciiTheme="minorHAnsi" w:hAnsiTheme="minorHAnsi" w:cstheme="minorHAnsi"/>
        </w:rPr>
      </w:pPr>
      <w:r w:rsidRPr="006E241A">
        <w:rPr>
          <w:rStyle w:val="Refdenotaalpie"/>
          <w:rFonts w:asciiTheme="minorHAnsi" w:hAnsiTheme="minorHAnsi" w:cstheme="minorHAnsi"/>
        </w:rPr>
        <w:footnoteRef/>
      </w:r>
      <w:r w:rsidRPr="006E241A">
        <w:rPr>
          <w:rFonts w:asciiTheme="minorHAnsi" w:hAnsiTheme="minorHAnsi" w:cstheme="minorHAnsi"/>
        </w:rPr>
        <w:t xml:space="preserve"> Current employees of organizations represented on the </w:t>
      </w:r>
      <w:hyperlink r:id="rId1" w:history="1">
        <w:r w:rsidRPr="006E241A">
          <w:rPr>
            <w:rFonts w:asciiTheme="minorHAnsi" w:hAnsiTheme="minorHAnsi" w:cstheme="minorHAnsi"/>
          </w:rPr>
          <w:t>Monitoring Group</w:t>
        </w:r>
      </w:hyperlink>
      <w:r w:rsidRPr="006E241A">
        <w:rPr>
          <w:rFonts w:asciiTheme="minorHAnsi" w:hAnsiTheme="minorHAnsi" w:cstheme="minorHAnsi"/>
        </w:rPr>
        <w:t> are not eligible for consideration.</w:t>
      </w:r>
    </w:p>
    <w:p w14:paraId="7044CD7E" w14:textId="12D079EC" w:rsidR="00FB77CD" w:rsidRDefault="00FB77C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380E" w14:textId="6E577DB5" w:rsidR="00D06724" w:rsidRDefault="00D06724" w:rsidP="00D06724">
    <w:pPr>
      <w:pStyle w:val="Encabezado"/>
      <w:tabs>
        <w:tab w:val="left" w:pos="1500"/>
        <w:tab w:val="center" w:pos="4419"/>
      </w:tabs>
    </w:pPr>
    <w:r>
      <w:tab/>
    </w:r>
    <w:r>
      <w:tab/>
    </w:r>
    <w:r>
      <w:rPr>
        <w:noProof/>
      </w:rPr>
      <w:drawing>
        <wp:inline distT="0" distB="0" distL="0" distR="0" wp14:anchorId="21CB93B5" wp14:editId="471ACD83">
          <wp:extent cx="1228725" cy="1228725"/>
          <wp:effectExtent l="0" t="0" r="952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EE4"/>
    <w:multiLevelType w:val="multilevel"/>
    <w:tmpl w:val="AD3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A4068"/>
    <w:multiLevelType w:val="multilevel"/>
    <w:tmpl w:val="3BBE4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972A1"/>
    <w:multiLevelType w:val="hybridMultilevel"/>
    <w:tmpl w:val="A43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19B0"/>
    <w:multiLevelType w:val="hybridMultilevel"/>
    <w:tmpl w:val="479A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123"/>
    <w:multiLevelType w:val="hybridMultilevel"/>
    <w:tmpl w:val="E6641C4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" w15:restartNumberingAfterBreak="0">
    <w:nsid w:val="329406DD"/>
    <w:multiLevelType w:val="hybridMultilevel"/>
    <w:tmpl w:val="D4289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C2919"/>
    <w:multiLevelType w:val="hybridMultilevel"/>
    <w:tmpl w:val="D1D2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4879"/>
    <w:multiLevelType w:val="hybridMultilevel"/>
    <w:tmpl w:val="0E74C154"/>
    <w:lvl w:ilvl="0" w:tplc="63DE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97FA1"/>
    <w:multiLevelType w:val="hybridMultilevel"/>
    <w:tmpl w:val="48E4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02D1"/>
    <w:multiLevelType w:val="hybridMultilevel"/>
    <w:tmpl w:val="9236A2DC"/>
    <w:lvl w:ilvl="0" w:tplc="6F58F684">
      <w:start w:val="1"/>
      <w:numFmt w:val="bullet"/>
      <w:lvlText w:val="‒"/>
      <w:lvlJc w:val="left"/>
      <w:pPr>
        <w:ind w:left="928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503E92"/>
    <w:multiLevelType w:val="hybridMultilevel"/>
    <w:tmpl w:val="4718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F6E35"/>
    <w:multiLevelType w:val="hybridMultilevel"/>
    <w:tmpl w:val="BC4AD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27"/>
    <w:rsid w:val="000342EF"/>
    <w:rsid w:val="00055B36"/>
    <w:rsid w:val="00075DF8"/>
    <w:rsid w:val="00094C1B"/>
    <w:rsid w:val="00095DBF"/>
    <w:rsid w:val="000E495B"/>
    <w:rsid w:val="000E5ED9"/>
    <w:rsid w:val="000F3642"/>
    <w:rsid w:val="000F4094"/>
    <w:rsid w:val="000F4A57"/>
    <w:rsid w:val="00105C18"/>
    <w:rsid w:val="0011059C"/>
    <w:rsid w:val="00123171"/>
    <w:rsid w:val="00125E9C"/>
    <w:rsid w:val="001365B6"/>
    <w:rsid w:val="00147995"/>
    <w:rsid w:val="00173923"/>
    <w:rsid w:val="00173B60"/>
    <w:rsid w:val="00177903"/>
    <w:rsid w:val="0019181A"/>
    <w:rsid w:val="001A006D"/>
    <w:rsid w:val="001A4409"/>
    <w:rsid w:val="001C3D1F"/>
    <w:rsid w:val="001E1504"/>
    <w:rsid w:val="001F6945"/>
    <w:rsid w:val="0022373A"/>
    <w:rsid w:val="00225832"/>
    <w:rsid w:val="0024587D"/>
    <w:rsid w:val="00257D79"/>
    <w:rsid w:val="0028756B"/>
    <w:rsid w:val="00290963"/>
    <w:rsid w:val="00293BE0"/>
    <w:rsid w:val="0029435A"/>
    <w:rsid w:val="0029454F"/>
    <w:rsid w:val="00297F6A"/>
    <w:rsid w:val="002A1F65"/>
    <w:rsid w:val="002C6ED9"/>
    <w:rsid w:val="002D177A"/>
    <w:rsid w:val="002D3112"/>
    <w:rsid w:val="00302668"/>
    <w:rsid w:val="0031473C"/>
    <w:rsid w:val="00320695"/>
    <w:rsid w:val="0032146E"/>
    <w:rsid w:val="0033234C"/>
    <w:rsid w:val="00344E17"/>
    <w:rsid w:val="00351344"/>
    <w:rsid w:val="00375BDB"/>
    <w:rsid w:val="003773F3"/>
    <w:rsid w:val="0038676C"/>
    <w:rsid w:val="00391C7D"/>
    <w:rsid w:val="003957B2"/>
    <w:rsid w:val="003A1DA3"/>
    <w:rsid w:val="003A379B"/>
    <w:rsid w:val="003C4A27"/>
    <w:rsid w:val="003D6CC1"/>
    <w:rsid w:val="003F14ED"/>
    <w:rsid w:val="0040078D"/>
    <w:rsid w:val="00403147"/>
    <w:rsid w:val="00405EEA"/>
    <w:rsid w:val="00412F7C"/>
    <w:rsid w:val="004168DA"/>
    <w:rsid w:val="00436D26"/>
    <w:rsid w:val="0044186D"/>
    <w:rsid w:val="00474859"/>
    <w:rsid w:val="00477178"/>
    <w:rsid w:val="004A0B6B"/>
    <w:rsid w:val="004B2F21"/>
    <w:rsid w:val="004C1647"/>
    <w:rsid w:val="004D3DF8"/>
    <w:rsid w:val="004E4F31"/>
    <w:rsid w:val="00504810"/>
    <w:rsid w:val="00520B94"/>
    <w:rsid w:val="0055714D"/>
    <w:rsid w:val="00563B8C"/>
    <w:rsid w:val="0059566E"/>
    <w:rsid w:val="005D340A"/>
    <w:rsid w:val="005F7FE0"/>
    <w:rsid w:val="00601B0F"/>
    <w:rsid w:val="0060333B"/>
    <w:rsid w:val="006173D4"/>
    <w:rsid w:val="006275E1"/>
    <w:rsid w:val="0064757D"/>
    <w:rsid w:val="00657D35"/>
    <w:rsid w:val="00662A28"/>
    <w:rsid w:val="00663570"/>
    <w:rsid w:val="00670E97"/>
    <w:rsid w:val="00671D7D"/>
    <w:rsid w:val="006841BF"/>
    <w:rsid w:val="00685109"/>
    <w:rsid w:val="006A3822"/>
    <w:rsid w:val="006B6210"/>
    <w:rsid w:val="006E21B7"/>
    <w:rsid w:val="006E241A"/>
    <w:rsid w:val="006F054C"/>
    <w:rsid w:val="006F641A"/>
    <w:rsid w:val="007052F3"/>
    <w:rsid w:val="0076473E"/>
    <w:rsid w:val="007A3673"/>
    <w:rsid w:val="007A7E70"/>
    <w:rsid w:val="007D5115"/>
    <w:rsid w:val="007E1DD4"/>
    <w:rsid w:val="007E4216"/>
    <w:rsid w:val="00804B80"/>
    <w:rsid w:val="00833A89"/>
    <w:rsid w:val="00845808"/>
    <w:rsid w:val="008470EE"/>
    <w:rsid w:val="00860E8D"/>
    <w:rsid w:val="00865606"/>
    <w:rsid w:val="008714DD"/>
    <w:rsid w:val="008A0A9A"/>
    <w:rsid w:val="008B18A0"/>
    <w:rsid w:val="008B2680"/>
    <w:rsid w:val="008B3A4E"/>
    <w:rsid w:val="008B41E8"/>
    <w:rsid w:val="008E2C30"/>
    <w:rsid w:val="008E3769"/>
    <w:rsid w:val="009059A2"/>
    <w:rsid w:val="00916415"/>
    <w:rsid w:val="00925908"/>
    <w:rsid w:val="009347EC"/>
    <w:rsid w:val="00944393"/>
    <w:rsid w:val="009E3444"/>
    <w:rsid w:val="009E7EED"/>
    <w:rsid w:val="00A00977"/>
    <w:rsid w:val="00A2678A"/>
    <w:rsid w:val="00A325AD"/>
    <w:rsid w:val="00A336D5"/>
    <w:rsid w:val="00A404BF"/>
    <w:rsid w:val="00A4346D"/>
    <w:rsid w:val="00A93A39"/>
    <w:rsid w:val="00AA2DBB"/>
    <w:rsid w:val="00AA4682"/>
    <w:rsid w:val="00AA78D6"/>
    <w:rsid w:val="00AB758A"/>
    <w:rsid w:val="00AC3CB3"/>
    <w:rsid w:val="00AD26FF"/>
    <w:rsid w:val="00AF2F79"/>
    <w:rsid w:val="00B13CF4"/>
    <w:rsid w:val="00B44229"/>
    <w:rsid w:val="00B44820"/>
    <w:rsid w:val="00B51A8B"/>
    <w:rsid w:val="00B55DB9"/>
    <w:rsid w:val="00B6772B"/>
    <w:rsid w:val="00B74A11"/>
    <w:rsid w:val="00B82EF9"/>
    <w:rsid w:val="00B928AA"/>
    <w:rsid w:val="00B93BBB"/>
    <w:rsid w:val="00BE329F"/>
    <w:rsid w:val="00BF0B5F"/>
    <w:rsid w:val="00C27114"/>
    <w:rsid w:val="00C35E69"/>
    <w:rsid w:val="00C624CE"/>
    <w:rsid w:val="00C87FF0"/>
    <w:rsid w:val="00C9104E"/>
    <w:rsid w:val="00CA261E"/>
    <w:rsid w:val="00CB247D"/>
    <w:rsid w:val="00CE4630"/>
    <w:rsid w:val="00CE6472"/>
    <w:rsid w:val="00D00D45"/>
    <w:rsid w:val="00D06724"/>
    <w:rsid w:val="00D1398B"/>
    <w:rsid w:val="00D5308A"/>
    <w:rsid w:val="00D576AE"/>
    <w:rsid w:val="00D6310B"/>
    <w:rsid w:val="00D67E36"/>
    <w:rsid w:val="00D716C2"/>
    <w:rsid w:val="00DA4D56"/>
    <w:rsid w:val="00DC3D46"/>
    <w:rsid w:val="00DD17BB"/>
    <w:rsid w:val="00DD5F2D"/>
    <w:rsid w:val="00DE3F59"/>
    <w:rsid w:val="00DF1814"/>
    <w:rsid w:val="00DF2C3B"/>
    <w:rsid w:val="00DF49D1"/>
    <w:rsid w:val="00E074C9"/>
    <w:rsid w:val="00E169DF"/>
    <w:rsid w:val="00E25AAF"/>
    <w:rsid w:val="00E40BBF"/>
    <w:rsid w:val="00E6526E"/>
    <w:rsid w:val="00E73713"/>
    <w:rsid w:val="00E92D8D"/>
    <w:rsid w:val="00EB7172"/>
    <w:rsid w:val="00EB798E"/>
    <w:rsid w:val="00EC23AD"/>
    <w:rsid w:val="00EE16C0"/>
    <w:rsid w:val="00EE1CE5"/>
    <w:rsid w:val="00EE260F"/>
    <w:rsid w:val="00F102D2"/>
    <w:rsid w:val="00F35398"/>
    <w:rsid w:val="00F422E8"/>
    <w:rsid w:val="00F66542"/>
    <w:rsid w:val="00F86D92"/>
    <w:rsid w:val="00F93329"/>
    <w:rsid w:val="00FA37EC"/>
    <w:rsid w:val="00FB3EB8"/>
    <w:rsid w:val="00FB77CD"/>
    <w:rsid w:val="00FD6C11"/>
    <w:rsid w:val="00FE1875"/>
    <w:rsid w:val="00FF511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7A1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A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2F3"/>
    <w:pPr>
      <w:spacing w:after="160"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31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31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310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1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10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0B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DC3D46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B5F"/>
  </w:style>
  <w:style w:type="paragraph" w:styleId="Piedepgina">
    <w:name w:val="footer"/>
    <w:basedOn w:val="Normal"/>
    <w:link w:val="PiedepginaCar"/>
    <w:uiPriority w:val="99"/>
    <w:unhideWhenUsed/>
    <w:rsid w:val="00B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B5F"/>
  </w:style>
  <w:style w:type="paragraph" w:styleId="Textoindependiente">
    <w:name w:val="Body Text"/>
    <w:aliases w:val="bt"/>
    <w:basedOn w:val="Normal"/>
    <w:link w:val="TextoindependienteCar"/>
    <w:qFormat/>
    <w:rsid w:val="00860E8D"/>
    <w:pPr>
      <w:spacing w:before="120" w:after="0" w:line="280" w:lineRule="exac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TextoindependienteCar">
    <w:name w:val="Texto independiente Car"/>
    <w:aliases w:val="bt Car"/>
    <w:basedOn w:val="Fuentedeprrafopredeter"/>
    <w:link w:val="Textoindependiente"/>
    <w:rsid w:val="00860E8D"/>
    <w:rPr>
      <w:rFonts w:ascii="Arial" w:eastAsia="Times New Roman" w:hAnsi="Arial" w:cs="Times New Roman"/>
      <w:kern w:val="20"/>
      <w:sz w:val="20"/>
      <w:szCs w:val="20"/>
    </w:rPr>
  </w:style>
  <w:style w:type="character" w:styleId="Hipervnculo">
    <w:name w:val="Hyperlink"/>
    <w:uiPriority w:val="99"/>
    <w:qFormat/>
    <w:rsid w:val="00860E8D"/>
    <w:rPr>
      <w:rFonts w:ascii="Arial" w:hAnsi="Arial"/>
      <w:color w:val="0000FF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58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8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5832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73B60"/>
    <w:pPr>
      <w:shd w:val="clear" w:color="auto" w:fill="FFFFFF"/>
      <w:spacing w:after="0" w:line="240" w:lineRule="auto"/>
      <w:jc w:val="both"/>
      <w:textAlignment w:val="top"/>
    </w:pPr>
    <w:rPr>
      <w:rFonts w:eastAsia="Times New Roman" w:cstheme="minorHAnsi"/>
      <w:color w:val="333333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73B60"/>
    <w:rPr>
      <w:rFonts w:eastAsia="Times New Roman" w:cstheme="minorHAnsi"/>
      <w:color w:val="333333"/>
      <w:sz w:val="24"/>
      <w:szCs w:val="24"/>
      <w:shd w:val="clear" w:color="auto" w:fill="FFFFFF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0672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sco.org/about/monitoring_group/pdf/2020-07-MG-Paper-Strengthening-The-International-Audit-And-Ethics-Standard-Setting-Syste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BNomcosearch@ipiob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rs.org/content/ifrs/home/groups/monitoring-boar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FFAA-0C91-478B-95C1-B0F27862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2021-06-17T13:15:00Z</dcterms:created>
  <dcterms:modified xsi:type="dcterms:W3CDTF">2021-06-17T13:15:00Z</dcterms:modified>
</cp:coreProperties>
</file>